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90E47">
      <w:pPr>
        <w:snapToGrid w:val="0"/>
        <w:spacing w:line="360" w:lineRule="auto"/>
        <w:ind w:firstLine="48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报价函</w:t>
      </w:r>
    </w:p>
    <w:p w14:paraId="77173212"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四川省教育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评估</w:t>
      </w:r>
      <w:r>
        <w:rPr>
          <w:rFonts w:hint="eastAsia" w:ascii="仿宋_GB2312" w:eastAsia="仿宋_GB2312"/>
          <w:color w:val="auto"/>
          <w:sz w:val="32"/>
          <w:szCs w:val="32"/>
        </w:rPr>
        <w:t>院：</w:t>
      </w:r>
    </w:p>
    <w:p w14:paraId="3B8AB9B8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我方仔细研究了四川省教育评估院地方服务项目监测网评服务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询价公告全部内容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完全满足询价公告中的服务和商务等要求，</w:t>
      </w:r>
      <w:r>
        <w:rPr>
          <w:rFonts w:hint="eastAsia" w:ascii="仿宋_GB2312" w:eastAsia="仿宋_GB2312"/>
          <w:color w:val="auto"/>
          <w:sz w:val="32"/>
          <w:szCs w:val="32"/>
        </w:rPr>
        <w:t>现就该项目向贵单位作如下报价：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 w14:paraId="13F9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vAlign w:val="center"/>
          </w:tcPr>
          <w:p w14:paraId="664AB675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单价</w:t>
            </w:r>
          </w:p>
          <w:p w14:paraId="1DF28B27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（含税）</w:t>
            </w:r>
          </w:p>
        </w:tc>
        <w:tc>
          <w:tcPr>
            <w:tcW w:w="6014" w:type="dxa"/>
            <w:vAlign w:val="center"/>
          </w:tcPr>
          <w:p w14:paraId="58FFB8AD">
            <w:pPr>
              <w:spacing w:line="56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人民币       元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/张</w:t>
            </w:r>
          </w:p>
        </w:tc>
      </w:tr>
      <w:tr w14:paraId="4028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vAlign w:val="center"/>
          </w:tcPr>
          <w:p w14:paraId="177356C9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总价</w:t>
            </w:r>
          </w:p>
          <w:p w14:paraId="2B78373F">
            <w:pPr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（含税）</w:t>
            </w:r>
          </w:p>
        </w:tc>
        <w:tc>
          <w:tcPr>
            <w:tcW w:w="6014" w:type="dxa"/>
            <w:vAlign w:val="center"/>
          </w:tcPr>
          <w:p w14:paraId="5F4169A2"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人民币       元（大写：           ）</w:t>
            </w:r>
          </w:p>
        </w:tc>
      </w:tr>
    </w:tbl>
    <w:p w14:paraId="55F2E326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如果我方中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eastAsia="仿宋_GB2312"/>
          <w:color w:val="auto"/>
          <w:sz w:val="32"/>
          <w:szCs w:val="32"/>
        </w:rPr>
        <w:t>，我方承诺将严格按照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询价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公告和合作协议</w:t>
      </w:r>
      <w:r>
        <w:rPr>
          <w:rFonts w:hint="eastAsia" w:ascii="仿宋_GB2312" w:eastAsia="仿宋_GB2312"/>
          <w:color w:val="auto"/>
          <w:sz w:val="32"/>
          <w:szCs w:val="32"/>
        </w:rPr>
        <w:t>的内容及要求，保质保量地完成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工作。</w:t>
      </w:r>
    </w:p>
    <w:p w14:paraId="18E0CB7E">
      <w:pPr>
        <w:spacing w:line="560" w:lineRule="exact"/>
        <w:ind w:firstLine="2976" w:firstLineChars="930"/>
        <w:rPr>
          <w:rFonts w:ascii="仿宋_GB2312" w:eastAsia="仿宋_GB2312"/>
          <w:color w:val="auto"/>
          <w:sz w:val="32"/>
          <w:szCs w:val="32"/>
        </w:rPr>
      </w:pPr>
    </w:p>
    <w:p w14:paraId="3C3F07F0">
      <w:pPr>
        <w:spacing w:line="560" w:lineRule="exact"/>
        <w:ind w:firstLine="2976" w:firstLineChars="930"/>
        <w:rPr>
          <w:rFonts w:ascii="仿宋_GB2312" w:eastAsia="仿宋_GB2312"/>
          <w:color w:val="auto"/>
          <w:sz w:val="32"/>
          <w:szCs w:val="32"/>
        </w:rPr>
      </w:pPr>
    </w:p>
    <w:p w14:paraId="5407676D">
      <w:pPr>
        <w:spacing w:beforeLines="0" w:afterLines="0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供应商（盖章）：</w:t>
      </w:r>
    </w:p>
    <w:p w14:paraId="3D482701">
      <w:pPr>
        <w:spacing w:beforeLines="0" w:afterLines="0"/>
        <w:ind w:left="3830" w:leftChars="182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法人代表或委托代理人（签字）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446D75A0">
      <w:pPr>
        <w:spacing w:beforeLines="0" w:afterLines="0"/>
        <w:ind w:left="3830" w:leftChars="1824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  日   </w:t>
      </w:r>
    </w:p>
    <w:p w14:paraId="12A946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A6B90"/>
    <w:multiLevelType w:val="multilevel"/>
    <w:tmpl w:val="DB1A6B90"/>
    <w:lvl w:ilvl="0" w:tentative="0">
      <w:start w:val="1"/>
      <w:numFmt w:val="chineseCountingThousand"/>
      <w:pStyle w:val="2"/>
      <w:lvlText w:val="%1、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77"/>
        </w:tabs>
        <w:ind w:left="862" w:hanging="862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44E8D"/>
    <w:rsid w:val="041D5190"/>
    <w:rsid w:val="06CC21A7"/>
    <w:rsid w:val="11715212"/>
    <w:rsid w:val="34204382"/>
    <w:rsid w:val="4A864ECD"/>
    <w:rsid w:val="5A8F1669"/>
    <w:rsid w:val="6FA44E8D"/>
    <w:rsid w:val="707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numPr>
        <w:ilvl w:val="1"/>
        <w:numId w:val="1"/>
      </w:numPr>
      <w:spacing w:line="570" w:lineRule="exact"/>
      <w:ind w:left="0"/>
      <w:outlineLvl w:val="1"/>
    </w:pPr>
    <w:rPr>
      <w:rFonts w:eastAsia="楷体_GB2312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line="570" w:lineRule="exact"/>
      <w:ind w:left="0"/>
      <w:outlineLvl w:val="2"/>
    </w:pPr>
    <w:rPr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numPr>
        <w:ilvl w:val="3"/>
        <w:numId w:val="1"/>
      </w:numPr>
      <w:spacing w:before="50" w:beforeLines="50" w:after="50" w:afterLines="50" w:line="360" w:lineRule="auto"/>
      <w:ind w:right="100" w:rightChars="100" w:firstLineChars="0"/>
      <w:outlineLvl w:val="3"/>
    </w:pPr>
    <w:rPr>
      <w:bCs/>
      <w:sz w:val="32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numPr>
        <w:ilvl w:val="4"/>
        <w:numId w:val="1"/>
      </w:numPr>
      <w:spacing w:line="570" w:lineRule="exact"/>
      <w:ind w:left="1008" w:hanging="1008" w:firstLineChars="0"/>
      <w:outlineLvl w:val="4"/>
    </w:pPr>
    <w:rPr>
      <w:bCs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2025-09-16T03:15:00Z</dcterms:created>
  <dc:creator>独白。</dc:creator>
  <cp:lastModifiedBy>独白。</cp:lastModifiedBy>
  <dcterms:modified xsi:type="dcterms:W3CDTF">2025-09-16T03:15:43Z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7015C8468AA5484797AAE871A258C019_11</vt:lpwstr>
  </property>
</Properties>
</file>